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287" w:rsidRDefault="008A0287" w:rsidP="0077420D">
      <w:pPr>
        <w:spacing w:after="0" w:line="240" w:lineRule="auto"/>
        <w:jc w:val="center"/>
        <w:rPr>
          <w:rFonts w:ascii="Times New Roman" w:hAnsi="Times New Roman" w:cs="Times New Roman"/>
          <w:b/>
          <w:sz w:val="24"/>
          <w:szCs w:val="24"/>
          <w:lang w:eastAsia="tr-TR"/>
        </w:rPr>
      </w:pPr>
      <w:r w:rsidRPr="00BC4BCE">
        <w:rPr>
          <w:rFonts w:ascii="Times New Roman" w:hAnsi="Times New Roman" w:cs="Times New Roman"/>
          <w:b/>
          <w:sz w:val="24"/>
          <w:szCs w:val="24"/>
          <w:lang w:eastAsia="tr-TR"/>
        </w:rPr>
        <w:t xml:space="preserve">... BELEDİYESİ </w:t>
      </w:r>
      <w:proofErr w:type="gramStart"/>
      <w:r w:rsidRPr="00BC4BCE">
        <w:rPr>
          <w:rFonts w:ascii="Times New Roman" w:hAnsi="Times New Roman" w:cs="Times New Roman"/>
          <w:b/>
          <w:sz w:val="24"/>
          <w:szCs w:val="24"/>
          <w:lang w:eastAsia="tr-TR"/>
        </w:rPr>
        <w:t>İLE ...</w:t>
      </w:r>
      <w:proofErr w:type="gramEnd"/>
      <w:r w:rsidRPr="00BC4BCE">
        <w:rPr>
          <w:rFonts w:ascii="Times New Roman" w:hAnsi="Times New Roman" w:cs="Times New Roman"/>
          <w:b/>
          <w:sz w:val="24"/>
          <w:szCs w:val="24"/>
          <w:lang w:eastAsia="tr-TR"/>
        </w:rPr>
        <w:t xml:space="preserve"> VALİLİĞİ/KAYMAKAMLIĞI</w:t>
      </w:r>
      <w:r w:rsidR="0077420D">
        <w:rPr>
          <w:rFonts w:ascii="Times New Roman" w:hAnsi="Times New Roman" w:cs="Times New Roman"/>
          <w:b/>
          <w:sz w:val="24"/>
          <w:szCs w:val="24"/>
          <w:lang w:eastAsia="tr-TR"/>
        </w:rPr>
        <w:t xml:space="preserve"> ARASINDA</w:t>
      </w:r>
    </w:p>
    <w:p w:rsidR="0077420D" w:rsidRDefault="0077420D" w:rsidP="0077420D">
      <w:pPr>
        <w:spacing w:after="0" w:line="240" w:lineRule="auto"/>
        <w:jc w:val="center"/>
        <w:rPr>
          <w:rFonts w:ascii="Times New Roman" w:hAnsi="Times New Roman" w:cs="Times New Roman"/>
          <w:b/>
          <w:sz w:val="24"/>
          <w:szCs w:val="24"/>
          <w:lang w:eastAsia="tr-TR"/>
        </w:rPr>
      </w:pPr>
      <w:r w:rsidRPr="0077420D">
        <w:rPr>
          <w:rFonts w:ascii="Times New Roman" w:hAnsi="Times New Roman" w:cs="Times New Roman"/>
          <w:b/>
          <w:sz w:val="24"/>
          <w:szCs w:val="24"/>
          <w:lang w:eastAsia="tr-TR"/>
        </w:rPr>
        <w:t>ÇOCUKLARIN EĞİTİM SÜREÇLERİNİN GÜVENLİĞİNE İLİŞKİN KORUYUCU VE ÖNLEYİCİ HİZMET VE TEDBİRLERİN ARTIRILMASINA YÖNELİK İŞ BİRLİĞİ PROTOKOLÜ</w:t>
      </w:r>
      <w:r>
        <w:rPr>
          <w:rFonts w:ascii="Times New Roman" w:hAnsi="Times New Roman" w:cs="Times New Roman"/>
          <w:b/>
          <w:sz w:val="24"/>
          <w:szCs w:val="24"/>
          <w:lang w:eastAsia="tr-TR"/>
        </w:rPr>
        <w:t xml:space="preserve">’NÜN </w:t>
      </w:r>
    </w:p>
    <w:p w:rsidR="008A0287" w:rsidRPr="00BC4BCE" w:rsidRDefault="0077420D" w:rsidP="0077420D">
      <w:pPr>
        <w:spacing w:after="0" w:line="240" w:lineRule="auto"/>
        <w:jc w:val="center"/>
        <w:rPr>
          <w:rFonts w:ascii="Times New Roman" w:hAnsi="Times New Roman" w:cs="Times New Roman"/>
          <w:b/>
          <w:sz w:val="24"/>
          <w:szCs w:val="24"/>
          <w:lang w:eastAsia="tr-TR"/>
        </w:rPr>
      </w:pPr>
      <w:r>
        <w:rPr>
          <w:rFonts w:ascii="Times New Roman" w:hAnsi="Times New Roman" w:cs="Times New Roman"/>
          <w:b/>
          <w:sz w:val="24"/>
          <w:szCs w:val="24"/>
          <w:lang w:eastAsia="tr-TR"/>
        </w:rPr>
        <w:t xml:space="preserve">YERELDE UYGULANMASINA YÖNELİK </w:t>
      </w:r>
      <w:r w:rsidR="008A0287" w:rsidRPr="00BC4BCE">
        <w:rPr>
          <w:rFonts w:ascii="Times New Roman" w:hAnsi="Times New Roman" w:cs="Times New Roman"/>
          <w:b/>
          <w:sz w:val="24"/>
          <w:szCs w:val="24"/>
          <w:lang w:eastAsia="tr-TR"/>
        </w:rPr>
        <w:t>İŞBİRLİĞİ PROTOKOLÜ</w:t>
      </w:r>
    </w:p>
    <w:p w:rsidR="008A0287" w:rsidRPr="00BC4BCE" w:rsidRDefault="008A0287" w:rsidP="00FE40D2">
      <w:pPr>
        <w:spacing w:before="120" w:after="120" w:line="276" w:lineRule="auto"/>
        <w:rPr>
          <w:rFonts w:ascii="Times New Roman" w:eastAsia="Times New Roman" w:hAnsi="Times New Roman" w:cs="Times New Roman"/>
          <w:b/>
          <w:sz w:val="24"/>
          <w:szCs w:val="24"/>
        </w:rPr>
      </w:pPr>
    </w:p>
    <w:p w:rsidR="008A0287" w:rsidRPr="00BC4BCE" w:rsidRDefault="008A0287" w:rsidP="00BC4BCE">
      <w:pPr>
        <w:spacing w:before="120" w:after="120" w:line="276" w:lineRule="auto"/>
        <w:jc w:val="both"/>
        <w:rPr>
          <w:rFonts w:ascii="Times New Roman" w:eastAsia="Times New Roman" w:hAnsi="Times New Roman" w:cs="Times New Roman"/>
          <w:b/>
          <w:sz w:val="24"/>
          <w:szCs w:val="24"/>
        </w:rPr>
      </w:pPr>
      <w:r w:rsidRPr="00BC4BCE">
        <w:rPr>
          <w:rFonts w:ascii="Times New Roman" w:eastAsia="Times New Roman" w:hAnsi="Times New Roman" w:cs="Times New Roman"/>
          <w:b/>
          <w:sz w:val="24"/>
          <w:szCs w:val="24"/>
        </w:rPr>
        <w:t>Amaç</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b/>
          <w:sz w:val="24"/>
          <w:szCs w:val="24"/>
        </w:rPr>
        <w:t xml:space="preserve">MADDE 1- </w:t>
      </w:r>
      <w:r w:rsidRPr="00BC4BCE">
        <w:rPr>
          <w:rFonts w:ascii="Times New Roman" w:eastAsia="Times New Roman" w:hAnsi="Times New Roman" w:cs="Times New Roman"/>
          <w:sz w:val="24"/>
          <w:szCs w:val="24"/>
        </w:rPr>
        <w:t xml:space="preserve">(1) Bu protokol Türkiye Belediyeler Birliği, Milli Eğitim Bakanlığı, Aile ve Sosyal Hizmetler Bakanlığı ile İçişleri Bakanlığı tarafından imzalanan </w:t>
      </w:r>
      <w:r w:rsidRPr="00BC4BCE">
        <w:rPr>
          <w:rFonts w:ascii="Times New Roman" w:eastAsia="Times New Roman" w:hAnsi="Times New Roman" w:cs="Times New Roman"/>
          <w:b/>
          <w:sz w:val="24"/>
          <w:szCs w:val="24"/>
        </w:rPr>
        <w:t>Çocukların Eğitim Süreçlerinin Güvenliğine İlişkin Koruyucu ve Önleyici Hizmet ve Tedbirlerin Artırılmasına Yönelik İş Birliği Protokolü</w:t>
      </w:r>
      <w:r w:rsidRPr="00BC4BCE">
        <w:rPr>
          <w:rFonts w:ascii="Times New Roman" w:eastAsia="Times New Roman" w:hAnsi="Times New Roman" w:cs="Times New Roman"/>
          <w:sz w:val="24"/>
          <w:szCs w:val="24"/>
        </w:rPr>
        <w:t xml:space="preserve"> kapsamında yapılacak uygulamaların yürütülmesi amacıyla hazırlanmıştır.</w:t>
      </w:r>
    </w:p>
    <w:p w:rsidR="008A0287" w:rsidRPr="00BC4BCE" w:rsidRDefault="008A0287" w:rsidP="00BC4BCE">
      <w:pPr>
        <w:spacing w:before="120" w:after="120" w:line="276" w:lineRule="auto"/>
        <w:jc w:val="both"/>
        <w:rPr>
          <w:rFonts w:ascii="Times New Roman" w:eastAsia="Times New Roman" w:hAnsi="Times New Roman" w:cs="Times New Roman"/>
          <w:b/>
          <w:sz w:val="24"/>
          <w:szCs w:val="24"/>
        </w:rPr>
      </w:pPr>
      <w:r w:rsidRPr="00BC4BCE">
        <w:rPr>
          <w:rFonts w:ascii="Times New Roman" w:eastAsia="Times New Roman" w:hAnsi="Times New Roman" w:cs="Times New Roman"/>
          <w:b/>
          <w:sz w:val="24"/>
          <w:szCs w:val="24"/>
        </w:rPr>
        <w:t>Kapsam</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b/>
          <w:sz w:val="24"/>
          <w:szCs w:val="24"/>
        </w:rPr>
        <w:t>MADDE 2</w:t>
      </w:r>
      <w:r w:rsidRPr="00BC4BCE">
        <w:rPr>
          <w:rFonts w:ascii="Times New Roman" w:eastAsia="Times New Roman" w:hAnsi="Times New Roman" w:cs="Times New Roman"/>
          <w:sz w:val="24"/>
          <w:szCs w:val="24"/>
        </w:rPr>
        <w:t>- (1) Bu protokol, birinci maddede belirtilen amaçları gerçekleştirmek üzere aşağıda yer alan koşulları ve tarafların sorumluluklarını kapsar.</w:t>
      </w:r>
    </w:p>
    <w:p w:rsidR="008A0287" w:rsidRPr="00BC4BCE" w:rsidRDefault="008A0287" w:rsidP="00BC4BCE">
      <w:pPr>
        <w:spacing w:before="120" w:after="120" w:line="276" w:lineRule="auto"/>
        <w:jc w:val="both"/>
        <w:rPr>
          <w:rFonts w:ascii="Times New Roman" w:eastAsia="Times New Roman" w:hAnsi="Times New Roman" w:cs="Times New Roman"/>
          <w:b/>
          <w:sz w:val="24"/>
          <w:szCs w:val="24"/>
        </w:rPr>
      </w:pPr>
      <w:r w:rsidRPr="00BC4BCE">
        <w:rPr>
          <w:rFonts w:ascii="Times New Roman" w:eastAsia="Times New Roman" w:hAnsi="Times New Roman" w:cs="Times New Roman"/>
          <w:b/>
          <w:sz w:val="24"/>
          <w:szCs w:val="24"/>
        </w:rPr>
        <w:t xml:space="preserve">Dayanak </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b/>
          <w:sz w:val="24"/>
          <w:szCs w:val="24"/>
        </w:rPr>
        <w:t xml:space="preserve">MADDE 3- </w:t>
      </w:r>
      <w:r w:rsidRPr="00BC4BCE">
        <w:rPr>
          <w:rFonts w:ascii="Times New Roman" w:eastAsia="Times New Roman" w:hAnsi="Times New Roman" w:cs="Times New Roman"/>
          <w:sz w:val="24"/>
          <w:szCs w:val="24"/>
        </w:rPr>
        <w:t>(1) 5393 sayılı Belediye Kanunu’nun 14 üncü ve 75’inci, 2918 sayılı Karayolları Trafik Kanunu’nun 124 üncü</w:t>
      </w:r>
      <w:r w:rsidR="0077420D">
        <w:rPr>
          <w:rFonts w:ascii="Times New Roman" w:eastAsia="Times New Roman" w:hAnsi="Times New Roman" w:cs="Times New Roman"/>
          <w:sz w:val="24"/>
          <w:szCs w:val="24"/>
        </w:rPr>
        <w:t xml:space="preserve"> maddesi</w:t>
      </w:r>
      <w:r w:rsidRPr="00BC4BCE">
        <w:rPr>
          <w:rFonts w:ascii="Times New Roman" w:eastAsia="Times New Roman" w:hAnsi="Times New Roman" w:cs="Times New Roman"/>
          <w:sz w:val="24"/>
          <w:szCs w:val="24"/>
        </w:rPr>
        <w:t xml:space="preserve">, </w:t>
      </w:r>
      <w:proofErr w:type="gramStart"/>
      <w:r w:rsidRPr="00BC4BCE">
        <w:rPr>
          <w:rFonts w:ascii="Times New Roman" w:eastAsia="Times New Roman" w:hAnsi="Times New Roman" w:cs="Times New Roman"/>
          <w:sz w:val="24"/>
          <w:szCs w:val="24"/>
        </w:rPr>
        <w:t>……</w:t>
      </w:r>
      <w:proofErr w:type="gramEnd"/>
      <w:r w:rsidRPr="00BC4BCE">
        <w:rPr>
          <w:rFonts w:ascii="Times New Roman" w:eastAsia="Times New Roman" w:hAnsi="Times New Roman" w:cs="Times New Roman"/>
          <w:sz w:val="24"/>
          <w:szCs w:val="24"/>
        </w:rPr>
        <w:t xml:space="preserve"> Belediye </w:t>
      </w:r>
      <w:proofErr w:type="gramStart"/>
      <w:r w:rsidRPr="00BC4BCE">
        <w:rPr>
          <w:rFonts w:ascii="Times New Roman" w:eastAsia="Times New Roman" w:hAnsi="Times New Roman" w:cs="Times New Roman"/>
          <w:sz w:val="24"/>
          <w:szCs w:val="24"/>
        </w:rPr>
        <w:t>Meclisi’nin …sayılı</w:t>
      </w:r>
      <w:proofErr w:type="gramEnd"/>
      <w:r w:rsidRPr="00BC4BCE">
        <w:rPr>
          <w:rFonts w:ascii="Times New Roman" w:eastAsia="Times New Roman" w:hAnsi="Times New Roman" w:cs="Times New Roman"/>
          <w:sz w:val="24"/>
          <w:szCs w:val="24"/>
        </w:rPr>
        <w:t xml:space="preserve"> kararı ve Çocukların Eğitim Süreçlerinin Güvenliğine İlişkin Koruyucu ve Önleyici Hizmet ve Tedbirlerin Artırılmasına Yönelik İş Birliği Protokolü.</w:t>
      </w:r>
    </w:p>
    <w:p w:rsidR="008A0287" w:rsidRPr="00BC4BCE" w:rsidRDefault="008A0287" w:rsidP="00BC4BCE">
      <w:pPr>
        <w:spacing w:before="120" w:after="120" w:line="276" w:lineRule="auto"/>
        <w:jc w:val="both"/>
        <w:rPr>
          <w:rFonts w:ascii="Times New Roman" w:eastAsia="Times New Roman" w:hAnsi="Times New Roman" w:cs="Times New Roman"/>
          <w:b/>
          <w:sz w:val="24"/>
          <w:szCs w:val="24"/>
        </w:rPr>
      </w:pPr>
      <w:r w:rsidRPr="00BC4BCE">
        <w:rPr>
          <w:rFonts w:ascii="Times New Roman" w:eastAsia="Times New Roman" w:hAnsi="Times New Roman" w:cs="Times New Roman"/>
          <w:b/>
          <w:sz w:val="24"/>
          <w:szCs w:val="24"/>
        </w:rPr>
        <w:t>Taraflar ve Tanımlar</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b/>
          <w:sz w:val="24"/>
          <w:szCs w:val="24"/>
        </w:rPr>
        <w:t xml:space="preserve">MADDE 4- </w:t>
      </w:r>
      <w:r w:rsidRPr="00BC4BCE">
        <w:rPr>
          <w:rFonts w:ascii="Times New Roman" w:eastAsia="Times New Roman" w:hAnsi="Times New Roman" w:cs="Times New Roman"/>
          <w:sz w:val="24"/>
          <w:szCs w:val="24"/>
        </w:rPr>
        <w:t>(1)</w:t>
      </w:r>
      <w:r w:rsidRPr="00BC4BCE">
        <w:rPr>
          <w:rFonts w:ascii="Times New Roman" w:eastAsia="Times New Roman" w:hAnsi="Times New Roman" w:cs="Times New Roman"/>
          <w:b/>
          <w:sz w:val="24"/>
          <w:szCs w:val="24"/>
        </w:rPr>
        <w:t xml:space="preserve"> </w:t>
      </w:r>
      <w:r w:rsidRPr="00BC4BCE">
        <w:rPr>
          <w:rFonts w:ascii="Times New Roman" w:eastAsia="Times New Roman" w:hAnsi="Times New Roman" w:cs="Times New Roman"/>
          <w:sz w:val="24"/>
          <w:szCs w:val="24"/>
        </w:rPr>
        <w:t>Bu protokolün tarafları;</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t xml:space="preserve">a) </w:t>
      </w:r>
      <w:proofErr w:type="gramStart"/>
      <w:r w:rsidRPr="00BC4BCE">
        <w:rPr>
          <w:rFonts w:ascii="Times New Roman" w:eastAsia="Times New Roman" w:hAnsi="Times New Roman" w:cs="Times New Roman"/>
          <w:sz w:val="24"/>
          <w:szCs w:val="24"/>
        </w:rPr>
        <w:t>….</w:t>
      </w:r>
      <w:proofErr w:type="gramEnd"/>
      <w:r w:rsidRPr="00BC4BCE">
        <w:rPr>
          <w:rFonts w:ascii="Times New Roman" w:eastAsia="Times New Roman" w:hAnsi="Times New Roman" w:cs="Times New Roman"/>
          <w:sz w:val="24"/>
          <w:szCs w:val="24"/>
        </w:rPr>
        <w:t xml:space="preserve"> Belediyesi (Adres)</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t xml:space="preserve">b) </w:t>
      </w:r>
      <w:proofErr w:type="gramStart"/>
      <w:r w:rsidRPr="00BC4BCE">
        <w:rPr>
          <w:rFonts w:ascii="Times New Roman" w:eastAsia="Times New Roman" w:hAnsi="Times New Roman" w:cs="Times New Roman"/>
          <w:sz w:val="24"/>
          <w:szCs w:val="24"/>
        </w:rPr>
        <w:t>….</w:t>
      </w:r>
      <w:proofErr w:type="gramEnd"/>
      <w:r w:rsidRPr="00BC4BCE">
        <w:rPr>
          <w:rFonts w:ascii="Times New Roman" w:eastAsia="Times New Roman" w:hAnsi="Times New Roman" w:cs="Times New Roman"/>
          <w:sz w:val="24"/>
          <w:szCs w:val="24"/>
        </w:rPr>
        <w:t xml:space="preserve"> Valiliği/Kaymakamlığı (Adres)’</w:t>
      </w:r>
      <w:proofErr w:type="gramStart"/>
      <w:r w:rsidRPr="00BC4BCE">
        <w:rPr>
          <w:rFonts w:ascii="Times New Roman" w:eastAsia="Times New Roman" w:hAnsi="Times New Roman" w:cs="Times New Roman"/>
          <w:sz w:val="24"/>
          <w:szCs w:val="24"/>
        </w:rPr>
        <w:t>dır</w:t>
      </w:r>
      <w:proofErr w:type="gramEnd"/>
      <w:r w:rsidRPr="00BC4BCE">
        <w:rPr>
          <w:rFonts w:ascii="Times New Roman" w:eastAsia="Times New Roman" w:hAnsi="Times New Roman" w:cs="Times New Roman"/>
          <w:sz w:val="24"/>
          <w:szCs w:val="24"/>
        </w:rPr>
        <w:t>.</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b/>
          <w:sz w:val="24"/>
          <w:szCs w:val="24"/>
        </w:rPr>
        <w:t xml:space="preserve"> </w:t>
      </w:r>
      <w:r w:rsidRPr="00BC4BCE">
        <w:rPr>
          <w:rFonts w:ascii="Times New Roman" w:eastAsia="Times New Roman" w:hAnsi="Times New Roman" w:cs="Times New Roman"/>
          <w:sz w:val="24"/>
          <w:szCs w:val="24"/>
        </w:rPr>
        <w:t>(2) Bu protokolde geçen;</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t xml:space="preserve">a) Belediye: </w:t>
      </w:r>
      <w:proofErr w:type="gramStart"/>
      <w:r w:rsidRPr="00BC4BCE">
        <w:rPr>
          <w:rFonts w:ascii="Times New Roman" w:eastAsia="Times New Roman" w:hAnsi="Times New Roman" w:cs="Times New Roman"/>
          <w:sz w:val="24"/>
          <w:szCs w:val="24"/>
        </w:rPr>
        <w:t>….</w:t>
      </w:r>
      <w:proofErr w:type="gramEnd"/>
      <w:r w:rsidRPr="00BC4BCE">
        <w:rPr>
          <w:rFonts w:ascii="Times New Roman" w:eastAsia="Times New Roman" w:hAnsi="Times New Roman" w:cs="Times New Roman"/>
          <w:sz w:val="24"/>
          <w:szCs w:val="24"/>
        </w:rPr>
        <w:t xml:space="preserve"> Belediyesini,</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t xml:space="preserve">b) Valilik/Kaymakamlık: </w:t>
      </w:r>
      <w:proofErr w:type="gramStart"/>
      <w:r w:rsidRPr="00BC4BCE">
        <w:rPr>
          <w:rFonts w:ascii="Times New Roman" w:eastAsia="Times New Roman" w:hAnsi="Times New Roman" w:cs="Times New Roman"/>
          <w:sz w:val="24"/>
          <w:szCs w:val="24"/>
        </w:rPr>
        <w:t>….</w:t>
      </w:r>
      <w:proofErr w:type="gramEnd"/>
      <w:r w:rsidRPr="00BC4BCE">
        <w:rPr>
          <w:rFonts w:ascii="Times New Roman" w:eastAsia="Times New Roman" w:hAnsi="Times New Roman" w:cs="Times New Roman"/>
          <w:sz w:val="24"/>
          <w:szCs w:val="24"/>
        </w:rPr>
        <w:t xml:space="preserve"> Valiliği/Kaymakamlığını</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proofErr w:type="gramStart"/>
      <w:r w:rsidRPr="00BC4BCE">
        <w:rPr>
          <w:rFonts w:ascii="Times New Roman" w:eastAsia="Times New Roman" w:hAnsi="Times New Roman" w:cs="Times New Roman"/>
          <w:sz w:val="24"/>
          <w:szCs w:val="24"/>
        </w:rPr>
        <w:t>ifade</w:t>
      </w:r>
      <w:proofErr w:type="gramEnd"/>
      <w:r w:rsidRPr="00BC4BCE">
        <w:rPr>
          <w:rFonts w:ascii="Times New Roman" w:eastAsia="Times New Roman" w:hAnsi="Times New Roman" w:cs="Times New Roman"/>
          <w:sz w:val="24"/>
          <w:szCs w:val="24"/>
        </w:rPr>
        <w:t xml:space="preserve"> eder. </w:t>
      </w:r>
    </w:p>
    <w:p w:rsidR="008A0287" w:rsidRPr="00BC4BCE" w:rsidRDefault="008A0287" w:rsidP="00BC4BCE">
      <w:pPr>
        <w:spacing w:before="120" w:after="120" w:line="276" w:lineRule="auto"/>
        <w:jc w:val="both"/>
        <w:rPr>
          <w:rFonts w:ascii="Times New Roman" w:eastAsia="Times New Roman" w:hAnsi="Times New Roman" w:cs="Times New Roman"/>
          <w:b/>
          <w:sz w:val="24"/>
          <w:szCs w:val="24"/>
        </w:rPr>
      </w:pPr>
      <w:r w:rsidRPr="00BC4BCE">
        <w:rPr>
          <w:rFonts w:ascii="Times New Roman" w:eastAsia="Times New Roman" w:hAnsi="Times New Roman" w:cs="Times New Roman"/>
          <w:b/>
          <w:sz w:val="24"/>
          <w:szCs w:val="24"/>
        </w:rPr>
        <w:t>Tarafların Yükümlülükleri</w:t>
      </w:r>
    </w:p>
    <w:p w:rsidR="00BC4BCE"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b/>
          <w:sz w:val="24"/>
          <w:szCs w:val="24"/>
        </w:rPr>
        <w:t xml:space="preserve">MADDE 5- </w:t>
      </w:r>
      <w:r w:rsidRPr="00BC4BCE">
        <w:rPr>
          <w:rFonts w:ascii="Times New Roman" w:eastAsia="Times New Roman" w:hAnsi="Times New Roman" w:cs="Times New Roman"/>
          <w:sz w:val="24"/>
          <w:szCs w:val="24"/>
        </w:rPr>
        <w:t xml:space="preserve">(1) </w:t>
      </w:r>
      <w:proofErr w:type="gramStart"/>
      <w:r w:rsidRPr="00BC4BCE">
        <w:rPr>
          <w:rFonts w:ascii="Times New Roman" w:eastAsia="Times New Roman" w:hAnsi="Times New Roman" w:cs="Times New Roman"/>
          <w:sz w:val="24"/>
          <w:szCs w:val="24"/>
        </w:rPr>
        <w:t>Belediye’nin  yükümlülükleri</w:t>
      </w:r>
      <w:proofErr w:type="gramEnd"/>
      <w:r w:rsidRPr="00BC4BCE">
        <w:rPr>
          <w:rFonts w:ascii="Times New Roman" w:eastAsia="Times New Roman" w:hAnsi="Times New Roman" w:cs="Times New Roman"/>
          <w:sz w:val="24"/>
          <w:szCs w:val="24"/>
        </w:rPr>
        <w:t>:</w:t>
      </w:r>
      <w:r w:rsidR="00BC4BCE" w:rsidRPr="00BC4BCE">
        <w:rPr>
          <w:rFonts w:ascii="Times New Roman" w:eastAsia="Times New Roman" w:hAnsi="Times New Roman" w:cs="Times New Roman"/>
          <w:sz w:val="24"/>
          <w:szCs w:val="24"/>
        </w:rPr>
        <w:t xml:space="preserve"> </w:t>
      </w:r>
    </w:p>
    <w:p w:rsidR="008A0287" w:rsidRPr="00A156E6" w:rsidRDefault="00BC4BCE" w:rsidP="00BC4BCE">
      <w:pPr>
        <w:spacing w:before="120" w:after="120" w:line="276" w:lineRule="auto"/>
        <w:jc w:val="both"/>
        <w:rPr>
          <w:rFonts w:ascii="Times New Roman" w:eastAsia="Times New Roman" w:hAnsi="Times New Roman" w:cs="Times New Roman"/>
          <w:b/>
          <w:color w:val="FF0000"/>
          <w:sz w:val="28"/>
          <w:szCs w:val="24"/>
        </w:rPr>
      </w:pPr>
      <w:proofErr w:type="gramStart"/>
      <w:r w:rsidRPr="00A156E6">
        <w:rPr>
          <w:rFonts w:ascii="Times New Roman" w:eastAsia="Times New Roman" w:hAnsi="Times New Roman" w:cs="Times New Roman"/>
          <w:b/>
          <w:color w:val="FF0000"/>
          <w:sz w:val="28"/>
          <w:szCs w:val="24"/>
          <w:highlight w:val="yellow"/>
        </w:rPr>
        <w:t>(</w:t>
      </w:r>
      <w:proofErr w:type="gramEnd"/>
      <w:r w:rsidRPr="00A156E6">
        <w:rPr>
          <w:rFonts w:ascii="Times New Roman" w:eastAsia="Times New Roman" w:hAnsi="Times New Roman" w:cs="Times New Roman"/>
          <w:b/>
          <w:color w:val="FF0000"/>
          <w:sz w:val="28"/>
          <w:szCs w:val="24"/>
          <w:highlight w:val="yellow"/>
        </w:rPr>
        <w:t>Aşağıdaki yükümlülükler ana protokolden doğrudan alınm</w:t>
      </w:r>
      <w:r w:rsidR="0077420D" w:rsidRPr="00A156E6">
        <w:rPr>
          <w:rFonts w:ascii="Times New Roman" w:eastAsia="Times New Roman" w:hAnsi="Times New Roman" w:cs="Times New Roman"/>
          <w:b/>
          <w:color w:val="FF0000"/>
          <w:sz w:val="28"/>
          <w:szCs w:val="24"/>
          <w:highlight w:val="yellow"/>
        </w:rPr>
        <w:t>ıştır. B</w:t>
      </w:r>
      <w:r w:rsidRPr="00A156E6">
        <w:rPr>
          <w:rFonts w:ascii="Times New Roman" w:eastAsia="Times New Roman" w:hAnsi="Times New Roman" w:cs="Times New Roman"/>
          <w:b/>
          <w:color w:val="FF0000"/>
          <w:sz w:val="28"/>
          <w:szCs w:val="24"/>
          <w:highlight w:val="yellow"/>
        </w:rPr>
        <w:t>elediyeniz</w:t>
      </w:r>
      <w:r w:rsidR="0077420D" w:rsidRPr="00A156E6">
        <w:rPr>
          <w:rFonts w:ascii="Times New Roman" w:eastAsia="Times New Roman" w:hAnsi="Times New Roman" w:cs="Times New Roman"/>
          <w:b/>
          <w:color w:val="FF0000"/>
          <w:sz w:val="28"/>
          <w:szCs w:val="24"/>
          <w:highlight w:val="yellow"/>
        </w:rPr>
        <w:t xml:space="preserve"> ma</w:t>
      </w:r>
      <w:r w:rsidR="00B04E16" w:rsidRPr="00A156E6">
        <w:rPr>
          <w:rFonts w:ascii="Times New Roman" w:eastAsia="Times New Roman" w:hAnsi="Times New Roman" w:cs="Times New Roman"/>
          <w:b/>
          <w:color w:val="FF0000"/>
          <w:sz w:val="28"/>
          <w:szCs w:val="24"/>
          <w:highlight w:val="yellow"/>
        </w:rPr>
        <w:t>li</w:t>
      </w:r>
      <w:r w:rsidR="0077420D" w:rsidRPr="00A156E6">
        <w:rPr>
          <w:rFonts w:ascii="Times New Roman" w:eastAsia="Times New Roman" w:hAnsi="Times New Roman" w:cs="Times New Roman"/>
          <w:b/>
          <w:color w:val="FF0000"/>
          <w:sz w:val="28"/>
          <w:szCs w:val="24"/>
          <w:highlight w:val="yellow"/>
        </w:rPr>
        <w:t xml:space="preserve"> veya diğer sebeplerle</w:t>
      </w:r>
      <w:r w:rsidRPr="00A156E6">
        <w:rPr>
          <w:rFonts w:ascii="Times New Roman" w:eastAsia="Times New Roman" w:hAnsi="Times New Roman" w:cs="Times New Roman"/>
          <w:b/>
          <w:color w:val="FF0000"/>
          <w:sz w:val="28"/>
          <w:szCs w:val="24"/>
          <w:highlight w:val="yellow"/>
        </w:rPr>
        <w:t xml:space="preserve"> </w:t>
      </w:r>
      <w:r w:rsidR="0077420D" w:rsidRPr="00A156E6">
        <w:rPr>
          <w:rFonts w:ascii="Times New Roman" w:eastAsia="Times New Roman" w:hAnsi="Times New Roman" w:cs="Times New Roman"/>
          <w:b/>
          <w:color w:val="FF0000"/>
          <w:sz w:val="28"/>
          <w:szCs w:val="24"/>
          <w:highlight w:val="yellow"/>
        </w:rPr>
        <w:t xml:space="preserve">uygulamakta zorlanacağı </w:t>
      </w:r>
      <w:r w:rsidRPr="00A156E6">
        <w:rPr>
          <w:rFonts w:ascii="Times New Roman" w:eastAsia="Times New Roman" w:hAnsi="Times New Roman" w:cs="Times New Roman"/>
          <w:b/>
          <w:color w:val="FF0000"/>
          <w:sz w:val="28"/>
          <w:szCs w:val="24"/>
          <w:highlight w:val="yellow"/>
        </w:rPr>
        <w:t>madde</w:t>
      </w:r>
      <w:r w:rsidR="00B04E16" w:rsidRPr="00A156E6">
        <w:rPr>
          <w:rFonts w:ascii="Times New Roman" w:eastAsia="Times New Roman" w:hAnsi="Times New Roman" w:cs="Times New Roman"/>
          <w:b/>
          <w:color w:val="FF0000"/>
          <w:sz w:val="28"/>
          <w:szCs w:val="24"/>
          <w:highlight w:val="yellow"/>
        </w:rPr>
        <w:t>/maddeleri</w:t>
      </w:r>
      <w:r w:rsidRPr="00A156E6">
        <w:rPr>
          <w:rFonts w:ascii="Times New Roman" w:eastAsia="Times New Roman" w:hAnsi="Times New Roman" w:cs="Times New Roman"/>
          <w:b/>
          <w:color w:val="FF0000"/>
          <w:sz w:val="28"/>
          <w:szCs w:val="24"/>
          <w:highlight w:val="yellow"/>
        </w:rPr>
        <w:t xml:space="preserve"> protokol dışı bırakabilir.)</w:t>
      </w:r>
    </w:p>
    <w:p w:rsidR="008A0287" w:rsidRPr="00E34EFE" w:rsidRDefault="008A0287" w:rsidP="00BC4BCE">
      <w:pPr>
        <w:pStyle w:val="ListParagraph"/>
        <w:numPr>
          <w:ilvl w:val="0"/>
          <w:numId w:val="3"/>
        </w:numPr>
        <w:spacing w:before="120" w:after="120" w:line="276" w:lineRule="auto"/>
        <w:ind w:left="284" w:hanging="218"/>
        <w:contextualSpacing w:val="0"/>
        <w:jc w:val="both"/>
        <w:rPr>
          <w:rFonts w:ascii="Times New Roman" w:eastAsia="Times New Roman" w:hAnsi="Times New Roman" w:cs="Times New Roman"/>
          <w:color w:val="0000CC"/>
          <w:sz w:val="24"/>
          <w:szCs w:val="24"/>
        </w:rPr>
      </w:pPr>
      <w:r w:rsidRPr="00E34EFE">
        <w:rPr>
          <w:rFonts w:ascii="Times New Roman" w:eastAsia="Times New Roman" w:hAnsi="Times New Roman" w:cs="Times New Roman"/>
          <w:color w:val="0000CC"/>
          <w:sz w:val="24"/>
          <w:szCs w:val="24"/>
        </w:rPr>
        <w:t>Belediyeler, ilgili kurumların talebi doğrultusunda ve iş birliği içerisinde çocukların her türlü suç, şiddet, ihmal, istismar, zorbalık ve bağımlılık ile diğer zararlı alışkanlıklardan korunmasına yönelik çalışmaları; eğitim, bilgilendirme toplantıları, mekân temini, ulaşım vb. hususlarda imkânlar ölçüsünde destekler ve yürütür.</w:t>
      </w:r>
    </w:p>
    <w:p w:rsidR="008A0287" w:rsidRPr="00E34EFE" w:rsidRDefault="008A0287" w:rsidP="00BC4BCE">
      <w:pPr>
        <w:pStyle w:val="ListParagraph"/>
        <w:numPr>
          <w:ilvl w:val="0"/>
          <w:numId w:val="3"/>
        </w:numPr>
        <w:spacing w:before="120" w:after="120" w:line="276" w:lineRule="auto"/>
        <w:ind w:left="284" w:hanging="218"/>
        <w:contextualSpacing w:val="0"/>
        <w:jc w:val="both"/>
        <w:rPr>
          <w:rFonts w:ascii="Times New Roman" w:eastAsia="Times New Roman" w:hAnsi="Times New Roman" w:cs="Times New Roman"/>
          <w:color w:val="0000CC"/>
          <w:sz w:val="24"/>
          <w:szCs w:val="24"/>
        </w:rPr>
      </w:pPr>
      <w:r w:rsidRPr="00E34EFE">
        <w:rPr>
          <w:rFonts w:ascii="Times New Roman" w:eastAsia="Times New Roman" w:hAnsi="Times New Roman" w:cs="Times New Roman"/>
          <w:color w:val="0000CC"/>
          <w:sz w:val="24"/>
          <w:szCs w:val="24"/>
        </w:rPr>
        <w:lastRenderedPageBreak/>
        <w:t>Belediyeler, kolluğun talebi doğrultusunda ve iş birliği içerisinde okul önlerinde seyyar satıcıların madde ve tütün mamulleri satışının engellenmesi konusunda yapılan çalışmaları destekler.</w:t>
      </w:r>
    </w:p>
    <w:p w:rsidR="008A0287" w:rsidRPr="00E34EFE" w:rsidRDefault="008A0287" w:rsidP="00BC4BCE">
      <w:pPr>
        <w:pStyle w:val="ListParagraph"/>
        <w:numPr>
          <w:ilvl w:val="0"/>
          <w:numId w:val="3"/>
        </w:numPr>
        <w:spacing w:before="120" w:after="120" w:line="276" w:lineRule="auto"/>
        <w:ind w:left="284" w:hanging="218"/>
        <w:contextualSpacing w:val="0"/>
        <w:jc w:val="both"/>
        <w:rPr>
          <w:rFonts w:ascii="Times New Roman" w:eastAsia="Times New Roman" w:hAnsi="Times New Roman" w:cs="Times New Roman"/>
          <w:color w:val="0000CC"/>
          <w:sz w:val="24"/>
          <w:szCs w:val="24"/>
        </w:rPr>
      </w:pPr>
      <w:r w:rsidRPr="00E34EFE">
        <w:rPr>
          <w:rFonts w:ascii="Times New Roman" w:eastAsia="Times New Roman" w:hAnsi="Times New Roman" w:cs="Times New Roman"/>
          <w:color w:val="0000CC"/>
          <w:sz w:val="24"/>
          <w:szCs w:val="24"/>
        </w:rPr>
        <w:t xml:space="preserve">Belediyeler imkânları dâhilinde, ilgili kurumların talepleri doğrultusunda ve iş birliği içerisinde öncelikli okulların okul önleri ile yakın çevresini görecek ve </w:t>
      </w:r>
      <w:proofErr w:type="spellStart"/>
      <w:r w:rsidRPr="00E34EFE">
        <w:rPr>
          <w:rFonts w:ascii="Times New Roman" w:eastAsia="Times New Roman" w:hAnsi="Times New Roman" w:cs="Times New Roman"/>
          <w:color w:val="0000CC"/>
          <w:sz w:val="24"/>
          <w:szCs w:val="24"/>
        </w:rPr>
        <w:t>KGYS’ye</w:t>
      </w:r>
      <w:proofErr w:type="spellEnd"/>
      <w:r w:rsidRPr="00E34EFE">
        <w:rPr>
          <w:rFonts w:ascii="Times New Roman" w:eastAsia="Times New Roman" w:hAnsi="Times New Roman" w:cs="Times New Roman"/>
          <w:color w:val="0000CC"/>
          <w:sz w:val="24"/>
          <w:szCs w:val="24"/>
        </w:rPr>
        <w:t xml:space="preserve"> (Kent Güvenlik Yönetim Sistemi) </w:t>
      </w:r>
      <w:proofErr w:type="gramStart"/>
      <w:r w:rsidRPr="00E34EFE">
        <w:rPr>
          <w:rFonts w:ascii="Times New Roman" w:eastAsia="Times New Roman" w:hAnsi="Times New Roman" w:cs="Times New Roman"/>
          <w:color w:val="0000CC"/>
          <w:sz w:val="24"/>
          <w:szCs w:val="24"/>
        </w:rPr>
        <w:t>entegre</w:t>
      </w:r>
      <w:proofErr w:type="gramEnd"/>
      <w:r w:rsidRPr="00E34EFE">
        <w:rPr>
          <w:rFonts w:ascii="Times New Roman" w:eastAsia="Times New Roman" w:hAnsi="Times New Roman" w:cs="Times New Roman"/>
          <w:color w:val="0000CC"/>
          <w:sz w:val="24"/>
          <w:szCs w:val="24"/>
        </w:rPr>
        <w:t xml:space="preserve"> edilebilecek şekilde kamera sistemleri kurulmasını destekler. Ayrıca; KGYS şartı aranmaksızın okul önleri ve yakın çevresini görecek şekilde güvenlik kamera sistemlerinin kurulmasına katkı sağlar.</w:t>
      </w:r>
    </w:p>
    <w:p w:rsidR="008A0287" w:rsidRPr="00E34EFE" w:rsidRDefault="008A0287" w:rsidP="00BC4BCE">
      <w:pPr>
        <w:pStyle w:val="ListParagraph"/>
        <w:numPr>
          <w:ilvl w:val="0"/>
          <w:numId w:val="3"/>
        </w:numPr>
        <w:spacing w:before="120" w:after="120" w:line="276" w:lineRule="auto"/>
        <w:ind w:left="284" w:hanging="218"/>
        <w:contextualSpacing w:val="0"/>
        <w:jc w:val="both"/>
        <w:rPr>
          <w:rFonts w:ascii="Times New Roman" w:eastAsia="Times New Roman" w:hAnsi="Times New Roman" w:cs="Times New Roman"/>
          <w:color w:val="0000CC"/>
          <w:sz w:val="24"/>
          <w:szCs w:val="24"/>
        </w:rPr>
      </w:pPr>
      <w:r w:rsidRPr="00E34EFE">
        <w:rPr>
          <w:rFonts w:ascii="Times New Roman" w:eastAsia="Times New Roman" w:hAnsi="Times New Roman" w:cs="Times New Roman"/>
          <w:color w:val="0000CC"/>
          <w:sz w:val="24"/>
          <w:szCs w:val="24"/>
        </w:rPr>
        <w:t>Belediyeler, ilgili kurumların talebi doğrultusun</w:t>
      </w:r>
      <w:bookmarkStart w:id="0" w:name="_GoBack"/>
      <w:bookmarkEnd w:id="0"/>
      <w:r w:rsidRPr="00E34EFE">
        <w:rPr>
          <w:rFonts w:ascii="Times New Roman" w:eastAsia="Times New Roman" w:hAnsi="Times New Roman" w:cs="Times New Roman"/>
          <w:color w:val="0000CC"/>
          <w:sz w:val="24"/>
          <w:szCs w:val="24"/>
        </w:rPr>
        <w:t xml:space="preserve">da ve iş birliği içerisinde dezavantajlı bölgelerdeki çocuklar ile öncelikli okullardaki öğrencilerin suç, şiddet ve bağımlılıktan uzak tutulması amacıyla sosyal, sportif, sanatsal beceriler ile yaşam becerilerini geliştirmelerini sağlayacak çalışmaları imkânları dâhilinde destekler ve yürütür. </w:t>
      </w:r>
    </w:p>
    <w:p w:rsidR="008A0287" w:rsidRPr="00E34EFE" w:rsidRDefault="008A0287" w:rsidP="00BC4BCE">
      <w:pPr>
        <w:pStyle w:val="ListParagraph"/>
        <w:numPr>
          <w:ilvl w:val="0"/>
          <w:numId w:val="3"/>
        </w:numPr>
        <w:spacing w:before="120" w:after="120" w:line="276" w:lineRule="auto"/>
        <w:ind w:left="284" w:hanging="218"/>
        <w:contextualSpacing w:val="0"/>
        <w:jc w:val="both"/>
        <w:rPr>
          <w:rFonts w:ascii="Times New Roman" w:eastAsia="Times New Roman" w:hAnsi="Times New Roman" w:cs="Times New Roman"/>
          <w:color w:val="0000CC"/>
          <w:sz w:val="24"/>
          <w:szCs w:val="24"/>
        </w:rPr>
      </w:pPr>
      <w:r w:rsidRPr="00E34EFE">
        <w:rPr>
          <w:rFonts w:ascii="Times New Roman" w:eastAsia="Times New Roman" w:hAnsi="Times New Roman" w:cs="Times New Roman"/>
          <w:color w:val="0000CC"/>
          <w:sz w:val="24"/>
          <w:szCs w:val="24"/>
        </w:rPr>
        <w:t xml:space="preserve">Belediyeler, il/ilçe milli eğitim müdürlüklerinin talepleri doğrultusunda öncelikli okullardan başlayarak fiziki ve güvenlik eksikleri bulunan okulları imkânları dâhilinde destekler. </w:t>
      </w:r>
    </w:p>
    <w:p w:rsidR="008A0287" w:rsidRPr="00E34EFE" w:rsidRDefault="008A0287" w:rsidP="00BC4BCE">
      <w:pPr>
        <w:pStyle w:val="ListParagraph"/>
        <w:numPr>
          <w:ilvl w:val="0"/>
          <w:numId w:val="3"/>
        </w:numPr>
        <w:spacing w:before="120" w:after="120" w:line="276" w:lineRule="auto"/>
        <w:ind w:left="284" w:hanging="218"/>
        <w:contextualSpacing w:val="0"/>
        <w:jc w:val="both"/>
        <w:rPr>
          <w:rFonts w:ascii="Times New Roman" w:eastAsia="Times New Roman" w:hAnsi="Times New Roman" w:cs="Times New Roman"/>
          <w:color w:val="0000CC"/>
          <w:sz w:val="24"/>
          <w:szCs w:val="24"/>
        </w:rPr>
      </w:pPr>
      <w:r w:rsidRPr="00E34EFE">
        <w:rPr>
          <w:rFonts w:ascii="Times New Roman" w:eastAsia="Times New Roman" w:hAnsi="Times New Roman" w:cs="Times New Roman"/>
          <w:color w:val="0000CC"/>
          <w:sz w:val="24"/>
          <w:szCs w:val="24"/>
        </w:rPr>
        <w:t xml:space="preserve">Okul güvenliği kapsamında il/ilçe milli eğitim müdürlükleri tarafından talep edilen ve Belediyelerin görev alanına giren riskli durumların giderilmesini sağlamaya yönelik faaliyet yürütür. </w:t>
      </w:r>
    </w:p>
    <w:p w:rsidR="008A0287" w:rsidRPr="00E34EFE" w:rsidRDefault="008A0287" w:rsidP="00BC4BCE">
      <w:pPr>
        <w:pStyle w:val="ListParagraph"/>
        <w:numPr>
          <w:ilvl w:val="0"/>
          <w:numId w:val="3"/>
        </w:numPr>
        <w:spacing w:before="120" w:after="120" w:line="276" w:lineRule="auto"/>
        <w:ind w:left="284" w:hanging="218"/>
        <w:contextualSpacing w:val="0"/>
        <w:jc w:val="both"/>
        <w:rPr>
          <w:rFonts w:ascii="Times New Roman" w:eastAsia="Times New Roman" w:hAnsi="Times New Roman" w:cs="Times New Roman"/>
          <w:color w:val="0000CC"/>
          <w:sz w:val="24"/>
          <w:szCs w:val="24"/>
        </w:rPr>
      </w:pPr>
      <w:r w:rsidRPr="00E34EFE">
        <w:rPr>
          <w:rFonts w:ascii="Times New Roman" w:eastAsia="Times New Roman" w:hAnsi="Times New Roman" w:cs="Times New Roman"/>
          <w:color w:val="0000CC"/>
          <w:sz w:val="24"/>
          <w:szCs w:val="24"/>
        </w:rPr>
        <w:t xml:space="preserve">Belediyeler imkânları dâhilinde, kolluğun talebi doğrultusunda ve iş birliği içerisinde uyuşturucu madde kullanımı açısından riskli park ve </w:t>
      </w:r>
      <w:proofErr w:type="gramStart"/>
      <w:r w:rsidRPr="00E34EFE">
        <w:rPr>
          <w:rFonts w:ascii="Times New Roman" w:eastAsia="Times New Roman" w:hAnsi="Times New Roman" w:cs="Times New Roman"/>
          <w:color w:val="0000CC"/>
          <w:sz w:val="24"/>
          <w:szCs w:val="24"/>
        </w:rPr>
        <w:t>rekreasyon</w:t>
      </w:r>
      <w:proofErr w:type="gramEnd"/>
      <w:r w:rsidRPr="00E34EFE">
        <w:rPr>
          <w:rFonts w:ascii="Times New Roman" w:eastAsia="Times New Roman" w:hAnsi="Times New Roman" w:cs="Times New Roman"/>
          <w:color w:val="0000CC"/>
          <w:sz w:val="24"/>
          <w:szCs w:val="24"/>
        </w:rPr>
        <w:t xml:space="preserve"> alanlarına KGYS entegre edilebilecek kamera sistemleri kurulmasını destekler.</w:t>
      </w:r>
    </w:p>
    <w:p w:rsidR="008A0287" w:rsidRPr="00E34EFE" w:rsidRDefault="008A0287" w:rsidP="00BC4BCE">
      <w:pPr>
        <w:pStyle w:val="ListParagraph"/>
        <w:numPr>
          <w:ilvl w:val="0"/>
          <w:numId w:val="3"/>
        </w:numPr>
        <w:spacing w:before="120" w:after="120" w:line="276" w:lineRule="auto"/>
        <w:ind w:left="284" w:hanging="218"/>
        <w:contextualSpacing w:val="0"/>
        <w:jc w:val="both"/>
        <w:rPr>
          <w:rFonts w:ascii="Times New Roman" w:eastAsia="Times New Roman" w:hAnsi="Times New Roman" w:cs="Times New Roman"/>
          <w:color w:val="0000CC"/>
          <w:sz w:val="24"/>
          <w:szCs w:val="24"/>
        </w:rPr>
      </w:pPr>
      <w:r w:rsidRPr="00E34EFE">
        <w:rPr>
          <w:rFonts w:ascii="Times New Roman" w:eastAsia="Times New Roman" w:hAnsi="Times New Roman" w:cs="Times New Roman"/>
          <w:color w:val="0000CC"/>
          <w:sz w:val="24"/>
          <w:szCs w:val="24"/>
        </w:rPr>
        <w:t>Belediyeler, 5393 sayılı Belediye Kanunu’nun 14 üncü maddesinde öngörülen Çocuk Konukevlerini açmak suretiyle, ihtiyacı olan çocukların barınma ve diğer ihtiyaçlarını karşılayarak eğitimlerine destek olabilirler.</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t xml:space="preserve"> (2) </w:t>
      </w:r>
      <w:r w:rsidR="00BC4BCE">
        <w:rPr>
          <w:rFonts w:ascii="Times New Roman" w:eastAsia="Times New Roman" w:hAnsi="Times New Roman" w:cs="Times New Roman"/>
          <w:sz w:val="24"/>
          <w:szCs w:val="24"/>
        </w:rPr>
        <w:t>Valilik/Kaymakamlığın</w:t>
      </w:r>
      <w:r w:rsidRPr="00BC4BCE">
        <w:rPr>
          <w:rFonts w:ascii="Times New Roman" w:eastAsia="Times New Roman" w:hAnsi="Times New Roman" w:cs="Times New Roman"/>
          <w:sz w:val="24"/>
          <w:szCs w:val="24"/>
        </w:rPr>
        <w:t xml:space="preserve"> yükümlülükleri:</w:t>
      </w:r>
    </w:p>
    <w:p w:rsidR="008A0287" w:rsidRPr="00BC4BCE" w:rsidRDefault="008A0287" w:rsidP="00BC4BCE">
      <w:pPr>
        <w:spacing w:before="120" w:after="120" w:line="276" w:lineRule="auto"/>
        <w:ind w:left="142"/>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t xml:space="preserve">a) </w:t>
      </w:r>
      <w:proofErr w:type="gramStart"/>
      <w:r w:rsidRPr="00BC4BCE">
        <w:rPr>
          <w:rFonts w:ascii="Times New Roman" w:eastAsia="Times New Roman" w:hAnsi="Times New Roman" w:cs="Times New Roman"/>
          <w:sz w:val="24"/>
          <w:szCs w:val="24"/>
        </w:rPr>
        <w:t>…..</w:t>
      </w:r>
      <w:proofErr w:type="gramEnd"/>
    </w:p>
    <w:p w:rsidR="008A0287" w:rsidRPr="00BC4BCE" w:rsidRDefault="008A0287" w:rsidP="00BC4BCE">
      <w:pPr>
        <w:spacing w:before="120" w:after="120" w:line="276" w:lineRule="auto"/>
        <w:ind w:left="142"/>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t>b)</w:t>
      </w:r>
      <w:proofErr w:type="gramStart"/>
      <w:r w:rsidRPr="00BC4BCE">
        <w:rPr>
          <w:rFonts w:ascii="Times New Roman" w:eastAsia="Times New Roman" w:hAnsi="Times New Roman" w:cs="Times New Roman"/>
          <w:sz w:val="24"/>
          <w:szCs w:val="24"/>
        </w:rPr>
        <w:t>…..</w:t>
      </w:r>
      <w:proofErr w:type="gramEnd"/>
    </w:p>
    <w:p w:rsidR="008A0287" w:rsidRPr="00BC4BCE" w:rsidRDefault="008A0287" w:rsidP="00BC4BCE">
      <w:pPr>
        <w:spacing w:before="120" w:after="120" w:line="276" w:lineRule="auto"/>
        <w:jc w:val="both"/>
        <w:rPr>
          <w:rFonts w:ascii="Times New Roman" w:eastAsia="Times New Roman" w:hAnsi="Times New Roman" w:cs="Times New Roman"/>
          <w:b/>
          <w:sz w:val="24"/>
          <w:szCs w:val="24"/>
        </w:rPr>
      </w:pPr>
      <w:r w:rsidRPr="00BC4BCE">
        <w:rPr>
          <w:rFonts w:ascii="Times New Roman" w:eastAsia="Times New Roman" w:hAnsi="Times New Roman" w:cs="Times New Roman"/>
          <w:b/>
          <w:sz w:val="24"/>
          <w:szCs w:val="24"/>
        </w:rPr>
        <w:t>Değişiklik</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b/>
          <w:sz w:val="24"/>
          <w:szCs w:val="24"/>
        </w:rPr>
        <w:t>MADDE 6</w:t>
      </w:r>
      <w:r w:rsidRPr="00BC4BCE">
        <w:rPr>
          <w:rFonts w:ascii="Times New Roman" w:eastAsia="Times New Roman" w:hAnsi="Times New Roman" w:cs="Times New Roman"/>
          <w:sz w:val="24"/>
          <w:szCs w:val="24"/>
        </w:rPr>
        <w:t>- (1) Protokol hükümleri karşılıklı yazılı mutabakatla değiştirilebilir.</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t>(2) Bu protokolde öngörülmeyen durumların ortaya çıkması, bazı maddelerin açıklanması, değiştirilmesi veya yeni madde eklenmesi amacıyla ek protokol yapılabileceği gibi karşılıklı yazılı mutabakatla da konunun düzenlenmesi sağlanabilir. Değişiklikler yapıldıkları tarihten itibaren yürürlüğe girecektir.</w:t>
      </w:r>
    </w:p>
    <w:p w:rsidR="008A0287" w:rsidRPr="00BC4BCE" w:rsidRDefault="008A0287" w:rsidP="00BC4BCE">
      <w:pPr>
        <w:spacing w:before="120" w:after="120" w:line="276" w:lineRule="auto"/>
        <w:jc w:val="both"/>
        <w:rPr>
          <w:rFonts w:ascii="Times New Roman" w:eastAsia="Times New Roman" w:hAnsi="Times New Roman" w:cs="Times New Roman"/>
          <w:b/>
          <w:sz w:val="24"/>
          <w:szCs w:val="24"/>
        </w:rPr>
      </w:pPr>
      <w:r w:rsidRPr="00BC4BCE">
        <w:rPr>
          <w:rFonts w:ascii="Times New Roman" w:eastAsia="Times New Roman" w:hAnsi="Times New Roman" w:cs="Times New Roman"/>
          <w:b/>
          <w:sz w:val="24"/>
          <w:szCs w:val="24"/>
        </w:rPr>
        <w:t>Protokolün Sona Ermesi</w:t>
      </w:r>
    </w:p>
    <w:p w:rsidR="008A0287" w:rsidRPr="00BC4BCE" w:rsidRDefault="00BC4BCE"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b/>
          <w:sz w:val="24"/>
          <w:szCs w:val="24"/>
        </w:rPr>
        <w:t>MADDE 7</w:t>
      </w:r>
      <w:r w:rsidR="008A0287" w:rsidRPr="00BC4BCE">
        <w:rPr>
          <w:rFonts w:ascii="Times New Roman" w:eastAsia="Times New Roman" w:hAnsi="Times New Roman" w:cs="Times New Roman"/>
          <w:b/>
          <w:sz w:val="24"/>
          <w:szCs w:val="24"/>
        </w:rPr>
        <w:t xml:space="preserve">- </w:t>
      </w:r>
      <w:r w:rsidR="008A0287" w:rsidRPr="00BC4BCE">
        <w:rPr>
          <w:rFonts w:ascii="Times New Roman" w:eastAsia="Times New Roman" w:hAnsi="Times New Roman" w:cs="Times New Roman"/>
          <w:sz w:val="24"/>
          <w:szCs w:val="24"/>
        </w:rPr>
        <w:t>(1) Bu protokol aşağıdaki hallerde sona erer:</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t>a) Sürenin sona ermesi</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t>b) Protokol konusunun uygulama kabiliyetinin ortadan kalkması,</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t>c) Tarafların karşılıklı anlaşmaları,</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lastRenderedPageBreak/>
        <w:t>ç) Verilen süreye rağmen, edimlerin yerine getirilmemesi,</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t>d) Aynı konuda yeni bir protokol imzalanması.</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t>e) Taraflardan birinin tek taraflı fesih beyanında bulunması.</w:t>
      </w:r>
    </w:p>
    <w:p w:rsidR="008A0287" w:rsidRPr="00BC4BCE" w:rsidRDefault="008A0287" w:rsidP="00BC4BCE">
      <w:pPr>
        <w:spacing w:before="120" w:after="120" w:line="276" w:lineRule="auto"/>
        <w:jc w:val="both"/>
        <w:rPr>
          <w:rFonts w:ascii="Times New Roman" w:eastAsia="Times New Roman" w:hAnsi="Times New Roman" w:cs="Times New Roman"/>
          <w:b/>
          <w:sz w:val="24"/>
          <w:szCs w:val="24"/>
        </w:rPr>
      </w:pPr>
      <w:r w:rsidRPr="00BC4BCE">
        <w:rPr>
          <w:rFonts w:ascii="Times New Roman" w:eastAsia="Times New Roman" w:hAnsi="Times New Roman" w:cs="Times New Roman"/>
          <w:b/>
          <w:sz w:val="24"/>
          <w:szCs w:val="24"/>
        </w:rPr>
        <w:t>Süre</w:t>
      </w:r>
    </w:p>
    <w:p w:rsidR="008A0287" w:rsidRPr="00BC4BCE" w:rsidRDefault="00BC4BCE"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b/>
          <w:sz w:val="24"/>
          <w:szCs w:val="24"/>
        </w:rPr>
        <w:t>MADDE 8</w:t>
      </w:r>
      <w:r w:rsidR="008A0287" w:rsidRPr="00BC4BCE">
        <w:rPr>
          <w:rFonts w:ascii="Times New Roman" w:eastAsia="Times New Roman" w:hAnsi="Times New Roman" w:cs="Times New Roman"/>
          <w:b/>
          <w:sz w:val="24"/>
          <w:szCs w:val="24"/>
        </w:rPr>
        <w:t xml:space="preserve">- </w:t>
      </w:r>
      <w:r w:rsidR="008A0287" w:rsidRPr="00BC4BCE">
        <w:rPr>
          <w:rFonts w:ascii="Times New Roman" w:eastAsia="Times New Roman" w:hAnsi="Times New Roman" w:cs="Times New Roman"/>
          <w:sz w:val="24"/>
          <w:szCs w:val="24"/>
        </w:rPr>
        <w:t xml:space="preserve">(1) Bu işbirliği protokolünün süresi imzalandığı tarihten itibaren </w:t>
      </w:r>
      <w:r w:rsidR="008A0287" w:rsidRPr="00BC4BCE">
        <w:rPr>
          <w:rFonts w:ascii="Times New Roman" w:eastAsia="Times New Roman" w:hAnsi="Times New Roman" w:cs="Times New Roman"/>
          <w:sz w:val="24"/>
          <w:szCs w:val="24"/>
          <w:highlight w:val="yellow"/>
        </w:rPr>
        <w:t>(…)</w:t>
      </w:r>
      <w:r w:rsidR="008A0287" w:rsidRPr="00BC4BCE">
        <w:rPr>
          <w:rFonts w:ascii="Times New Roman" w:eastAsia="Times New Roman" w:hAnsi="Times New Roman" w:cs="Times New Roman"/>
          <w:sz w:val="24"/>
          <w:szCs w:val="24"/>
        </w:rPr>
        <w:t xml:space="preserve"> yıldır. Bu süre taraflarca karşılıklı anlaşma ile uzatılabilir.</w:t>
      </w:r>
    </w:p>
    <w:p w:rsidR="008A0287" w:rsidRPr="00BC4BCE" w:rsidRDefault="008A0287" w:rsidP="00BC4BCE">
      <w:pPr>
        <w:spacing w:before="120" w:after="120" w:line="276" w:lineRule="auto"/>
        <w:jc w:val="both"/>
        <w:rPr>
          <w:rFonts w:ascii="Times New Roman" w:eastAsia="Times New Roman" w:hAnsi="Times New Roman" w:cs="Times New Roman"/>
          <w:b/>
          <w:sz w:val="24"/>
          <w:szCs w:val="24"/>
        </w:rPr>
      </w:pPr>
      <w:r w:rsidRPr="00BC4BCE">
        <w:rPr>
          <w:rFonts w:ascii="Times New Roman" w:eastAsia="Times New Roman" w:hAnsi="Times New Roman" w:cs="Times New Roman"/>
          <w:b/>
          <w:sz w:val="24"/>
          <w:szCs w:val="24"/>
        </w:rPr>
        <w:t xml:space="preserve">Anlaşmazlıkların Çözümü </w:t>
      </w:r>
    </w:p>
    <w:p w:rsidR="008A0287" w:rsidRPr="00BC4BCE" w:rsidRDefault="00BC4BCE"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b/>
          <w:sz w:val="24"/>
          <w:szCs w:val="24"/>
        </w:rPr>
        <w:t>MADDE 9</w:t>
      </w:r>
      <w:r w:rsidR="008A0287" w:rsidRPr="00BC4BCE">
        <w:rPr>
          <w:rFonts w:ascii="Times New Roman" w:eastAsia="Times New Roman" w:hAnsi="Times New Roman" w:cs="Times New Roman"/>
          <w:b/>
          <w:sz w:val="24"/>
          <w:szCs w:val="24"/>
        </w:rPr>
        <w:t xml:space="preserve">- </w:t>
      </w:r>
      <w:r w:rsidR="008A0287" w:rsidRPr="00BC4BCE">
        <w:rPr>
          <w:rFonts w:ascii="Times New Roman" w:eastAsia="Times New Roman" w:hAnsi="Times New Roman" w:cs="Times New Roman"/>
          <w:sz w:val="24"/>
          <w:szCs w:val="24"/>
        </w:rPr>
        <w:t>(1) Bu protokolün uygulanmasından kaynaklanabilecek uyuşmazlıkların öncelikle karşılıklı anlaşma ile çözülmesi esastır.</w:t>
      </w:r>
    </w:p>
    <w:p w:rsidR="008A0287" w:rsidRPr="00FE40D2" w:rsidRDefault="008A0287"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t xml:space="preserve">(2) Anlaşmazlığın bu şekilde çözülememesi durumunda uyuşmazlık </w:t>
      </w:r>
      <w:proofErr w:type="gramStart"/>
      <w:r w:rsidR="00BC4BCE" w:rsidRPr="00BC4BCE">
        <w:rPr>
          <w:rFonts w:ascii="Times New Roman" w:eastAsia="Times New Roman" w:hAnsi="Times New Roman" w:cs="Times New Roman"/>
          <w:sz w:val="24"/>
          <w:szCs w:val="24"/>
        </w:rPr>
        <w:t>…….</w:t>
      </w:r>
      <w:proofErr w:type="gramEnd"/>
      <w:r w:rsidRPr="00BC4BCE">
        <w:rPr>
          <w:rFonts w:ascii="Times New Roman" w:eastAsia="Times New Roman" w:hAnsi="Times New Roman" w:cs="Times New Roman"/>
          <w:sz w:val="24"/>
          <w:szCs w:val="24"/>
        </w:rPr>
        <w:t xml:space="preserve"> Mahkemeleri ve İcra Dairelerinde hükme bağlanır.</w:t>
      </w:r>
    </w:p>
    <w:p w:rsidR="008A0287" w:rsidRPr="00BC4BCE" w:rsidRDefault="008A0287" w:rsidP="00BC4BCE">
      <w:pPr>
        <w:spacing w:before="120" w:after="120" w:line="276" w:lineRule="auto"/>
        <w:jc w:val="both"/>
        <w:rPr>
          <w:rFonts w:ascii="Times New Roman" w:eastAsia="Times New Roman" w:hAnsi="Times New Roman" w:cs="Times New Roman"/>
          <w:b/>
          <w:sz w:val="24"/>
          <w:szCs w:val="24"/>
        </w:rPr>
      </w:pPr>
      <w:r w:rsidRPr="00BC4BCE">
        <w:rPr>
          <w:rFonts w:ascii="Times New Roman" w:eastAsia="Times New Roman" w:hAnsi="Times New Roman" w:cs="Times New Roman"/>
          <w:b/>
          <w:sz w:val="24"/>
          <w:szCs w:val="24"/>
        </w:rPr>
        <w:t xml:space="preserve">Yürürlük </w:t>
      </w:r>
    </w:p>
    <w:p w:rsidR="008A0287" w:rsidRPr="00BC4BCE" w:rsidRDefault="00BC4BCE"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b/>
          <w:sz w:val="24"/>
          <w:szCs w:val="24"/>
        </w:rPr>
        <w:t>MADDE 10</w:t>
      </w:r>
      <w:r w:rsidR="008A0287" w:rsidRPr="00BC4BCE">
        <w:rPr>
          <w:rFonts w:ascii="Times New Roman" w:eastAsia="Times New Roman" w:hAnsi="Times New Roman" w:cs="Times New Roman"/>
          <w:b/>
          <w:sz w:val="24"/>
          <w:szCs w:val="24"/>
        </w:rPr>
        <w:t xml:space="preserve">- (1) </w:t>
      </w:r>
      <w:r w:rsidR="008A0287" w:rsidRPr="00BC4BCE">
        <w:rPr>
          <w:rFonts w:ascii="Times New Roman" w:eastAsia="Times New Roman" w:hAnsi="Times New Roman" w:cs="Times New Roman"/>
          <w:sz w:val="24"/>
          <w:szCs w:val="24"/>
        </w:rPr>
        <w:t>Bu protokol, imzalandığı tarihte yürürlüğe girer.</w:t>
      </w:r>
    </w:p>
    <w:p w:rsidR="008A0287" w:rsidRPr="00BC4BCE" w:rsidRDefault="008A0287" w:rsidP="00BC4BCE">
      <w:pPr>
        <w:spacing w:before="120" w:after="120" w:line="276" w:lineRule="auto"/>
        <w:jc w:val="both"/>
        <w:rPr>
          <w:rFonts w:ascii="Times New Roman" w:eastAsia="Times New Roman" w:hAnsi="Times New Roman" w:cs="Times New Roman"/>
          <w:sz w:val="24"/>
          <w:szCs w:val="24"/>
        </w:rPr>
      </w:pPr>
    </w:p>
    <w:p w:rsidR="008A0287" w:rsidRPr="00BC4BCE" w:rsidRDefault="00BC4BCE" w:rsidP="00BC4BCE">
      <w:pPr>
        <w:spacing w:before="120" w:after="120" w:line="276" w:lineRule="auto"/>
        <w:jc w:val="both"/>
        <w:rPr>
          <w:rFonts w:ascii="Times New Roman" w:eastAsia="Times New Roman" w:hAnsi="Times New Roman" w:cs="Times New Roman"/>
          <w:sz w:val="24"/>
          <w:szCs w:val="24"/>
        </w:rPr>
      </w:pPr>
      <w:r w:rsidRPr="00BC4BCE">
        <w:rPr>
          <w:rFonts w:ascii="Times New Roman" w:eastAsia="Times New Roman" w:hAnsi="Times New Roman" w:cs="Times New Roman"/>
          <w:sz w:val="24"/>
          <w:szCs w:val="24"/>
        </w:rPr>
        <w:t>10 (on</w:t>
      </w:r>
      <w:r w:rsidR="008A0287" w:rsidRPr="00BC4BCE">
        <w:rPr>
          <w:rFonts w:ascii="Times New Roman" w:eastAsia="Times New Roman" w:hAnsi="Times New Roman" w:cs="Times New Roman"/>
          <w:sz w:val="24"/>
          <w:szCs w:val="24"/>
        </w:rPr>
        <w:t xml:space="preserve">)  maddeden ibaret olan iş bu protokol, </w:t>
      </w:r>
      <w:proofErr w:type="gramStart"/>
      <w:r w:rsidR="008A0287" w:rsidRPr="00BC4BCE">
        <w:rPr>
          <w:rFonts w:ascii="Times New Roman" w:eastAsia="Times New Roman" w:hAnsi="Times New Roman" w:cs="Times New Roman"/>
          <w:sz w:val="24"/>
          <w:szCs w:val="24"/>
        </w:rPr>
        <w:t>.....</w:t>
      </w:r>
      <w:proofErr w:type="gramEnd"/>
      <w:r w:rsidR="008A0287" w:rsidRPr="00BC4BCE">
        <w:rPr>
          <w:rFonts w:ascii="Times New Roman" w:eastAsia="Times New Roman" w:hAnsi="Times New Roman" w:cs="Times New Roman"/>
          <w:sz w:val="24"/>
          <w:szCs w:val="24"/>
        </w:rPr>
        <w:t>/…./ 2022 tarihinde taraflarca iki nüsha olarak tanzim ve imza edilmiştir.</w:t>
      </w:r>
    </w:p>
    <w:p w:rsidR="008A0287" w:rsidRPr="00BC4BCE" w:rsidRDefault="008A0287" w:rsidP="00BC4BCE">
      <w:pPr>
        <w:spacing w:before="120" w:after="120" w:line="276" w:lineRule="auto"/>
        <w:ind w:firstLine="709"/>
        <w:jc w:val="both"/>
        <w:rPr>
          <w:rFonts w:ascii="Times New Roman" w:eastAsia="Times New Roman" w:hAnsi="Times New Roman" w:cs="Times New Roman"/>
          <w:b/>
          <w:sz w:val="24"/>
          <w:szCs w:val="24"/>
        </w:rPr>
      </w:pPr>
    </w:p>
    <w:p w:rsidR="008A0287" w:rsidRPr="00BC4BCE" w:rsidRDefault="008A0287" w:rsidP="00BC4BCE">
      <w:pPr>
        <w:spacing w:before="120" w:after="120" w:line="276" w:lineRule="auto"/>
        <w:ind w:firstLine="709"/>
        <w:jc w:val="both"/>
        <w:rPr>
          <w:rFonts w:ascii="Times New Roman" w:eastAsia="Times New Roman" w:hAnsi="Times New Roman" w:cs="Times New Roman"/>
          <w:b/>
          <w:sz w:val="24"/>
          <w:szCs w:val="24"/>
        </w:rPr>
      </w:pPr>
    </w:p>
    <w:p w:rsidR="008A0287" w:rsidRPr="00BC4BCE" w:rsidRDefault="008A0287" w:rsidP="00BC4BCE">
      <w:pPr>
        <w:spacing w:before="120" w:after="120" w:line="276" w:lineRule="auto"/>
        <w:jc w:val="both"/>
        <w:rPr>
          <w:rFonts w:ascii="Times New Roman" w:eastAsia="Times New Roman" w:hAnsi="Times New Roman" w:cs="Times New Roman"/>
          <w:b/>
          <w:sz w:val="24"/>
          <w:szCs w:val="24"/>
        </w:rPr>
      </w:pPr>
    </w:p>
    <w:tbl>
      <w:tblPr>
        <w:tblW w:w="0" w:type="auto"/>
        <w:jc w:val="center"/>
        <w:tblLayout w:type="fixed"/>
        <w:tblLook w:val="04A0" w:firstRow="1" w:lastRow="0" w:firstColumn="1" w:lastColumn="0" w:noHBand="0" w:noVBand="1"/>
      </w:tblPr>
      <w:tblGrid>
        <w:gridCol w:w="4833"/>
        <w:gridCol w:w="4833"/>
      </w:tblGrid>
      <w:tr w:rsidR="008A0287" w:rsidRPr="00BC4BCE" w:rsidTr="008A0287">
        <w:trPr>
          <w:jc w:val="center"/>
        </w:trPr>
        <w:tc>
          <w:tcPr>
            <w:tcW w:w="4833" w:type="dxa"/>
            <w:hideMark/>
          </w:tcPr>
          <w:p w:rsidR="008A0287" w:rsidRPr="00BC4BCE" w:rsidRDefault="008A0287" w:rsidP="00BC4BCE">
            <w:pPr>
              <w:tabs>
                <w:tab w:val="left" w:pos="851"/>
              </w:tabs>
              <w:spacing w:before="120" w:after="120" w:line="276" w:lineRule="auto"/>
              <w:jc w:val="center"/>
              <w:rPr>
                <w:rFonts w:ascii="Times New Roman" w:hAnsi="Times New Roman" w:cs="Times New Roman"/>
                <w:b/>
                <w:sz w:val="24"/>
                <w:szCs w:val="24"/>
              </w:rPr>
            </w:pPr>
            <w:proofErr w:type="gramStart"/>
            <w:r w:rsidRPr="00BC4BCE">
              <w:rPr>
                <w:rFonts w:ascii="Times New Roman" w:hAnsi="Times New Roman" w:cs="Times New Roman"/>
                <w:b/>
                <w:sz w:val="24"/>
                <w:szCs w:val="24"/>
              </w:rPr>
              <w:t>…….</w:t>
            </w:r>
            <w:proofErr w:type="gramEnd"/>
            <w:r w:rsidR="00BC4BCE" w:rsidRPr="00BC4BCE">
              <w:rPr>
                <w:rFonts w:ascii="Times New Roman" w:hAnsi="Times New Roman" w:cs="Times New Roman"/>
                <w:b/>
                <w:sz w:val="24"/>
                <w:szCs w:val="24"/>
              </w:rPr>
              <w:t xml:space="preserve"> Belediyesi</w:t>
            </w:r>
          </w:p>
          <w:p w:rsidR="008A0287" w:rsidRPr="00BC4BCE" w:rsidRDefault="008A0287" w:rsidP="00BC4BCE">
            <w:pPr>
              <w:tabs>
                <w:tab w:val="left" w:pos="851"/>
              </w:tabs>
              <w:spacing w:before="120" w:after="120" w:line="276" w:lineRule="auto"/>
              <w:jc w:val="center"/>
              <w:rPr>
                <w:rFonts w:ascii="Times New Roman" w:hAnsi="Times New Roman" w:cs="Times New Roman"/>
                <w:b/>
                <w:sz w:val="24"/>
                <w:szCs w:val="24"/>
              </w:rPr>
            </w:pPr>
            <w:r w:rsidRPr="00BC4BCE">
              <w:rPr>
                <w:rFonts w:ascii="Times New Roman" w:hAnsi="Times New Roman" w:cs="Times New Roman"/>
                <w:b/>
                <w:sz w:val="24"/>
                <w:szCs w:val="24"/>
              </w:rPr>
              <w:t>Adına</w:t>
            </w:r>
          </w:p>
        </w:tc>
        <w:tc>
          <w:tcPr>
            <w:tcW w:w="4833" w:type="dxa"/>
            <w:hideMark/>
          </w:tcPr>
          <w:p w:rsidR="008A0287" w:rsidRPr="00BC4BCE" w:rsidRDefault="00BC4BCE" w:rsidP="00BC4BCE">
            <w:pPr>
              <w:tabs>
                <w:tab w:val="left" w:pos="851"/>
              </w:tabs>
              <w:spacing w:before="120" w:after="120" w:line="276" w:lineRule="auto"/>
              <w:jc w:val="center"/>
              <w:rPr>
                <w:rFonts w:ascii="Times New Roman" w:hAnsi="Times New Roman" w:cs="Times New Roman"/>
                <w:b/>
                <w:sz w:val="24"/>
                <w:szCs w:val="24"/>
              </w:rPr>
            </w:pPr>
            <w:proofErr w:type="gramStart"/>
            <w:r w:rsidRPr="00BC4BCE">
              <w:rPr>
                <w:rFonts w:ascii="Times New Roman" w:hAnsi="Times New Roman" w:cs="Times New Roman"/>
                <w:b/>
                <w:sz w:val="24"/>
                <w:szCs w:val="24"/>
              </w:rPr>
              <w:t>……..</w:t>
            </w:r>
            <w:proofErr w:type="gramEnd"/>
            <w:r w:rsidRPr="00BC4BCE">
              <w:rPr>
                <w:rFonts w:ascii="Times New Roman" w:hAnsi="Times New Roman" w:cs="Times New Roman"/>
                <w:b/>
                <w:sz w:val="24"/>
                <w:szCs w:val="24"/>
              </w:rPr>
              <w:t xml:space="preserve"> Valiliği/Kaymakamlığı</w:t>
            </w:r>
          </w:p>
          <w:p w:rsidR="008A0287" w:rsidRPr="00BC4BCE" w:rsidRDefault="008A0287" w:rsidP="00BC4BCE">
            <w:pPr>
              <w:tabs>
                <w:tab w:val="left" w:pos="851"/>
              </w:tabs>
              <w:spacing w:before="120" w:after="120" w:line="276" w:lineRule="auto"/>
              <w:jc w:val="center"/>
              <w:rPr>
                <w:rFonts w:ascii="Times New Roman" w:hAnsi="Times New Roman" w:cs="Times New Roman"/>
                <w:b/>
                <w:sz w:val="24"/>
                <w:szCs w:val="24"/>
              </w:rPr>
            </w:pPr>
            <w:r w:rsidRPr="00BC4BCE">
              <w:rPr>
                <w:rFonts w:ascii="Times New Roman" w:hAnsi="Times New Roman" w:cs="Times New Roman"/>
                <w:b/>
                <w:sz w:val="24"/>
                <w:szCs w:val="24"/>
              </w:rPr>
              <w:t>Adına</w:t>
            </w:r>
          </w:p>
        </w:tc>
      </w:tr>
      <w:tr w:rsidR="008A0287" w:rsidRPr="00BC4BCE" w:rsidTr="008A0287">
        <w:trPr>
          <w:jc w:val="center"/>
        </w:trPr>
        <w:tc>
          <w:tcPr>
            <w:tcW w:w="4833" w:type="dxa"/>
          </w:tcPr>
          <w:p w:rsidR="008A0287" w:rsidRPr="00BC4BCE" w:rsidRDefault="008A0287" w:rsidP="00BC4BCE">
            <w:pPr>
              <w:tabs>
                <w:tab w:val="left" w:pos="851"/>
              </w:tabs>
              <w:spacing w:before="120" w:after="120" w:line="276" w:lineRule="auto"/>
              <w:jc w:val="center"/>
              <w:rPr>
                <w:rFonts w:ascii="Times New Roman" w:hAnsi="Times New Roman" w:cs="Times New Roman"/>
                <w:b/>
                <w:sz w:val="24"/>
                <w:szCs w:val="24"/>
              </w:rPr>
            </w:pPr>
          </w:p>
          <w:p w:rsidR="008A0287" w:rsidRPr="00BC4BCE" w:rsidRDefault="008A0287" w:rsidP="00BC4BCE">
            <w:pPr>
              <w:tabs>
                <w:tab w:val="left" w:pos="851"/>
              </w:tabs>
              <w:spacing w:before="120" w:after="120" w:line="276" w:lineRule="auto"/>
              <w:jc w:val="center"/>
              <w:rPr>
                <w:rFonts w:ascii="Times New Roman" w:hAnsi="Times New Roman" w:cs="Times New Roman"/>
                <w:b/>
                <w:sz w:val="24"/>
                <w:szCs w:val="24"/>
              </w:rPr>
            </w:pPr>
          </w:p>
          <w:p w:rsidR="008A0287" w:rsidRPr="00BC4BCE" w:rsidRDefault="008A0287" w:rsidP="00BC4BCE">
            <w:pPr>
              <w:tabs>
                <w:tab w:val="left" w:pos="851"/>
              </w:tabs>
              <w:spacing w:before="120" w:after="120" w:line="276" w:lineRule="auto"/>
              <w:jc w:val="center"/>
              <w:rPr>
                <w:rFonts w:ascii="Times New Roman" w:hAnsi="Times New Roman" w:cs="Times New Roman"/>
                <w:b/>
                <w:sz w:val="24"/>
                <w:szCs w:val="24"/>
              </w:rPr>
            </w:pPr>
          </w:p>
          <w:p w:rsidR="008A0287" w:rsidRPr="00BC4BCE" w:rsidRDefault="008A0287" w:rsidP="00BC4BCE">
            <w:pPr>
              <w:tabs>
                <w:tab w:val="left" w:pos="851"/>
              </w:tabs>
              <w:spacing w:before="120" w:after="120" w:line="276" w:lineRule="auto"/>
              <w:jc w:val="center"/>
              <w:rPr>
                <w:rFonts w:ascii="Times New Roman" w:hAnsi="Times New Roman" w:cs="Times New Roman"/>
                <w:b/>
                <w:sz w:val="24"/>
                <w:szCs w:val="24"/>
              </w:rPr>
            </w:pPr>
          </w:p>
        </w:tc>
        <w:tc>
          <w:tcPr>
            <w:tcW w:w="4833" w:type="dxa"/>
          </w:tcPr>
          <w:p w:rsidR="008A0287" w:rsidRPr="00BC4BCE" w:rsidRDefault="008A0287" w:rsidP="00BC4BCE">
            <w:pPr>
              <w:tabs>
                <w:tab w:val="left" w:pos="851"/>
              </w:tabs>
              <w:spacing w:before="120" w:after="120" w:line="276" w:lineRule="auto"/>
              <w:jc w:val="center"/>
              <w:rPr>
                <w:rFonts w:ascii="Times New Roman" w:hAnsi="Times New Roman" w:cs="Times New Roman"/>
                <w:b/>
                <w:sz w:val="24"/>
                <w:szCs w:val="24"/>
              </w:rPr>
            </w:pPr>
          </w:p>
        </w:tc>
      </w:tr>
      <w:tr w:rsidR="008A0287" w:rsidRPr="00BC4BCE" w:rsidTr="008A0287">
        <w:trPr>
          <w:jc w:val="center"/>
        </w:trPr>
        <w:tc>
          <w:tcPr>
            <w:tcW w:w="4833" w:type="dxa"/>
            <w:hideMark/>
          </w:tcPr>
          <w:p w:rsidR="008A0287" w:rsidRPr="00BC4BCE" w:rsidRDefault="008A0287" w:rsidP="00BC4BCE">
            <w:pPr>
              <w:tabs>
                <w:tab w:val="left" w:pos="851"/>
              </w:tabs>
              <w:spacing w:before="120" w:after="120" w:line="276" w:lineRule="auto"/>
              <w:jc w:val="center"/>
              <w:rPr>
                <w:rFonts w:ascii="Times New Roman" w:hAnsi="Times New Roman" w:cs="Times New Roman"/>
                <w:sz w:val="24"/>
                <w:szCs w:val="24"/>
              </w:rPr>
            </w:pPr>
            <w:proofErr w:type="gramStart"/>
            <w:r w:rsidRPr="00BC4BCE">
              <w:rPr>
                <w:rFonts w:ascii="Times New Roman" w:hAnsi="Times New Roman" w:cs="Times New Roman"/>
                <w:b/>
                <w:sz w:val="24"/>
                <w:szCs w:val="24"/>
              </w:rPr>
              <w:t>…….</w:t>
            </w:r>
            <w:proofErr w:type="gramEnd"/>
          </w:p>
        </w:tc>
        <w:tc>
          <w:tcPr>
            <w:tcW w:w="4833" w:type="dxa"/>
            <w:hideMark/>
          </w:tcPr>
          <w:p w:rsidR="008A0287" w:rsidRPr="00BC4BCE" w:rsidRDefault="00BC4BCE" w:rsidP="00BC4BCE">
            <w:pPr>
              <w:tabs>
                <w:tab w:val="left" w:pos="851"/>
              </w:tabs>
              <w:spacing w:before="120" w:after="120" w:line="276" w:lineRule="auto"/>
              <w:jc w:val="center"/>
              <w:rPr>
                <w:rFonts w:ascii="Times New Roman" w:hAnsi="Times New Roman" w:cs="Times New Roman"/>
                <w:sz w:val="24"/>
                <w:szCs w:val="24"/>
              </w:rPr>
            </w:pPr>
            <w:proofErr w:type="gramStart"/>
            <w:r w:rsidRPr="00BC4BCE">
              <w:rPr>
                <w:rFonts w:ascii="Times New Roman" w:hAnsi="Times New Roman" w:cs="Times New Roman"/>
                <w:b/>
                <w:sz w:val="24"/>
                <w:szCs w:val="24"/>
              </w:rPr>
              <w:t>…….</w:t>
            </w:r>
            <w:proofErr w:type="gramEnd"/>
          </w:p>
        </w:tc>
      </w:tr>
      <w:tr w:rsidR="008A0287" w:rsidRPr="00BC4BCE" w:rsidTr="008A0287">
        <w:trPr>
          <w:jc w:val="center"/>
        </w:trPr>
        <w:tc>
          <w:tcPr>
            <w:tcW w:w="4833" w:type="dxa"/>
            <w:hideMark/>
          </w:tcPr>
          <w:p w:rsidR="008A0287" w:rsidRPr="00BC4BCE" w:rsidRDefault="008A0287" w:rsidP="00BC4BCE">
            <w:pPr>
              <w:tabs>
                <w:tab w:val="left" w:pos="851"/>
              </w:tabs>
              <w:spacing w:before="120" w:after="120" w:line="276" w:lineRule="auto"/>
              <w:jc w:val="center"/>
              <w:rPr>
                <w:rFonts w:ascii="Times New Roman" w:hAnsi="Times New Roman" w:cs="Times New Roman"/>
                <w:sz w:val="24"/>
                <w:szCs w:val="24"/>
              </w:rPr>
            </w:pPr>
            <w:proofErr w:type="gramStart"/>
            <w:r w:rsidRPr="00BC4BCE">
              <w:rPr>
                <w:rFonts w:ascii="Times New Roman" w:hAnsi="Times New Roman" w:cs="Times New Roman"/>
                <w:b/>
                <w:sz w:val="24"/>
                <w:szCs w:val="24"/>
              </w:rPr>
              <w:t>……..</w:t>
            </w:r>
            <w:proofErr w:type="gramEnd"/>
            <w:r w:rsidRPr="00BC4BCE">
              <w:rPr>
                <w:rFonts w:ascii="Times New Roman" w:hAnsi="Times New Roman" w:cs="Times New Roman"/>
                <w:b/>
                <w:sz w:val="24"/>
                <w:szCs w:val="24"/>
              </w:rPr>
              <w:t xml:space="preserve"> Başkanı</w:t>
            </w:r>
          </w:p>
        </w:tc>
        <w:tc>
          <w:tcPr>
            <w:tcW w:w="4833" w:type="dxa"/>
            <w:hideMark/>
          </w:tcPr>
          <w:p w:rsidR="008A0287" w:rsidRPr="00BC4BCE" w:rsidRDefault="00BC4BCE" w:rsidP="00BC4BCE">
            <w:pPr>
              <w:tabs>
                <w:tab w:val="left" w:pos="851"/>
              </w:tabs>
              <w:spacing w:before="120" w:after="120" w:line="276" w:lineRule="auto"/>
              <w:jc w:val="center"/>
              <w:rPr>
                <w:rFonts w:ascii="Times New Roman" w:hAnsi="Times New Roman" w:cs="Times New Roman"/>
                <w:sz w:val="24"/>
                <w:szCs w:val="24"/>
              </w:rPr>
            </w:pPr>
            <w:proofErr w:type="gramStart"/>
            <w:r w:rsidRPr="00BC4BCE">
              <w:rPr>
                <w:rFonts w:ascii="Times New Roman" w:hAnsi="Times New Roman" w:cs="Times New Roman"/>
                <w:b/>
                <w:sz w:val="24"/>
                <w:szCs w:val="24"/>
              </w:rPr>
              <w:t>……..</w:t>
            </w:r>
            <w:proofErr w:type="gramEnd"/>
            <w:r w:rsidRPr="00BC4BCE">
              <w:rPr>
                <w:rFonts w:ascii="Times New Roman" w:hAnsi="Times New Roman" w:cs="Times New Roman"/>
                <w:b/>
                <w:sz w:val="24"/>
                <w:szCs w:val="24"/>
              </w:rPr>
              <w:t xml:space="preserve"> Valisi/Kaymakamı</w:t>
            </w:r>
          </w:p>
        </w:tc>
      </w:tr>
    </w:tbl>
    <w:p w:rsidR="00383417" w:rsidRPr="00BC4BCE" w:rsidRDefault="00383417" w:rsidP="00BC4BCE">
      <w:pPr>
        <w:spacing w:before="120" w:after="120" w:line="276" w:lineRule="auto"/>
        <w:rPr>
          <w:rFonts w:ascii="Times New Roman" w:hAnsi="Times New Roman" w:cs="Times New Roman"/>
          <w:sz w:val="24"/>
          <w:szCs w:val="24"/>
        </w:rPr>
      </w:pPr>
    </w:p>
    <w:sectPr w:rsidR="00383417" w:rsidRPr="00BC4B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67019"/>
    <w:multiLevelType w:val="hybridMultilevel"/>
    <w:tmpl w:val="886E89F0"/>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752FE5"/>
    <w:multiLevelType w:val="hybridMultilevel"/>
    <w:tmpl w:val="445AAB3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C8D6293"/>
    <w:multiLevelType w:val="hybridMultilevel"/>
    <w:tmpl w:val="C6F8A8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37D"/>
    <w:rsid w:val="00383417"/>
    <w:rsid w:val="0054324B"/>
    <w:rsid w:val="0077420D"/>
    <w:rsid w:val="008A0287"/>
    <w:rsid w:val="009C1002"/>
    <w:rsid w:val="00A156E6"/>
    <w:rsid w:val="00A8537D"/>
    <w:rsid w:val="00B04E16"/>
    <w:rsid w:val="00BC4BCE"/>
    <w:rsid w:val="00E34EFE"/>
    <w:rsid w:val="00FE40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DF5C9-3527-4395-84E3-C8A746A6D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28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0287"/>
    <w:pPr>
      <w:suppressAutoHyphens/>
      <w:spacing w:after="200" w:line="276"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4B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922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778</Words>
  <Characters>4437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Süleyman Üçel</dc:creator>
  <cp:keywords/>
  <dc:description/>
  <cp:lastModifiedBy>Süleyman Üçel</cp:lastModifiedBy>
  <cp:revision>7</cp:revision>
  <dcterms:created xsi:type="dcterms:W3CDTF">2022-09-12T14:18:00Z</dcterms:created>
  <dcterms:modified xsi:type="dcterms:W3CDTF">2022-09-13T12:55:00Z</dcterms:modified>
</cp:coreProperties>
</file>